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96" w:rsidRDefault="001E4096" w:rsidP="001E4096">
      <w:pPr>
        <w:jc w:val="center"/>
        <w:rPr>
          <w:b/>
          <w:sz w:val="48"/>
          <w:szCs w:val="48"/>
        </w:rPr>
      </w:pPr>
      <w:r w:rsidRPr="001E4096">
        <w:rPr>
          <w:b/>
          <w:sz w:val="48"/>
          <w:szCs w:val="48"/>
        </w:rPr>
        <w:t>Pendleton County Schools</w:t>
      </w:r>
      <w:bookmarkStart w:id="0" w:name="_GoBack"/>
      <w:bookmarkEnd w:id="0"/>
    </w:p>
    <w:p w:rsidR="00465422" w:rsidRDefault="002A556C" w:rsidP="00D568F3">
      <w:pPr>
        <w:rPr>
          <w:sz w:val="24"/>
          <w:szCs w:val="24"/>
        </w:rPr>
      </w:pPr>
      <w:r w:rsidRPr="000319BF">
        <w:rPr>
          <w:sz w:val="24"/>
          <w:szCs w:val="24"/>
        </w:rPr>
        <w:t>In a video release to staff this week, Superintendent Strong said, “We know where we were, we know where we are, and it is time to focus on what we can do to improve.”  This was his reaction to scores that were released this week as part of the Unbridled Learning Accountability Model.  Pendleton County School District received an overall score of 56.3 based on a 100 point scale which placed the district in the 58th percentile in the state and</w:t>
      </w:r>
      <w:r w:rsidR="00D568F3">
        <w:rPr>
          <w:sz w:val="24"/>
          <w:szCs w:val="24"/>
        </w:rPr>
        <w:t xml:space="preserve"> gave them a category title of Needs I</w:t>
      </w:r>
      <w:r w:rsidRPr="000319BF">
        <w:rPr>
          <w:sz w:val="24"/>
          <w:szCs w:val="24"/>
        </w:rPr>
        <w:t>mprovement.  The District is 2 poin</w:t>
      </w:r>
      <w:r w:rsidR="000319BF" w:rsidRPr="000319BF">
        <w:rPr>
          <w:sz w:val="24"/>
          <w:szCs w:val="24"/>
        </w:rPr>
        <w:t xml:space="preserve">ts shy of a proficient rating.  </w:t>
      </w:r>
      <w:r w:rsidR="00922125" w:rsidRPr="000319BF">
        <w:rPr>
          <w:sz w:val="24"/>
          <w:szCs w:val="24"/>
        </w:rPr>
        <w:t xml:space="preserve">Superintendent Strong believes that data gleaned from the recent </w:t>
      </w:r>
      <w:r w:rsidR="00922125">
        <w:rPr>
          <w:sz w:val="24"/>
          <w:szCs w:val="24"/>
        </w:rPr>
        <w:t>a</w:t>
      </w:r>
      <w:r w:rsidR="00922125" w:rsidRPr="000319BF">
        <w:rPr>
          <w:sz w:val="24"/>
          <w:szCs w:val="24"/>
        </w:rPr>
        <w:t xml:space="preserve">ccountability scores will only help improve instruction for the </w:t>
      </w:r>
      <w:r w:rsidR="00232D15">
        <w:rPr>
          <w:sz w:val="24"/>
          <w:szCs w:val="24"/>
        </w:rPr>
        <w:t>2,400</w:t>
      </w:r>
      <w:r w:rsidR="00922125" w:rsidRPr="000319BF">
        <w:rPr>
          <w:sz w:val="24"/>
          <w:szCs w:val="24"/>
        </w:rPr>
        <w:t xml:space="preserve"> students who attend Pendleton County Schools. </w:t>
      </w:r>
    </w:p>
    <w:p w:rsidR="009D7DE4" w:rsidRDefault="009D7DE4" w:rsidP="00D568F3">
      <w:pPr>
        <w:rPr>
          <w:sz w:val="24"/>
          <w:szCs w:val="24"/>
        </w:rPr>
      </w:pPr>
      <w:r>
        <w:rPr>
          <w:sz w:val="24"/>
          <w:szCs w:val="24"/>
        </w:rPr>
        <w:t xml:space="preserve">“Administrators have begun the process of looking at data and making a plan to lead their staffs through the analysis process.  We are proud of the work that is occurring and the growth mindset that is being created within each building.” commented Mrs. Razor, </w:t>
      </w:r>
      <w:r w:rsidR="004D0E9C">
        <w:rPr>
          <w:sz w:val="24"/>
          <w:szCs w:val="24"/>
        </w:rPr>
        <w:t>Assistant</w:t>
      </w:r>
      <w:r>
        <w:rPr>
          <w:sz w:val="24"/>
          <w:szCs w:val="24"/>
        </w:rPr>
        <w:t xml:space="preserve"> Superintendent.  The Kentucky Department of Education has created a ranking system that orders all elementary </w:t>
      </w:r>
      <w:proofErr w:type="gramStart"/>
      <w:r w:rsidR="004D0E9C">
        <w:rPr>
          <w:sz w:val="24"/>
          <w:szCs w:val="24"/>
        </w:rPr>
        <w:t>schools,</w:t>
      </w:r>
      <w:proofErr w:type="gramEnd"/>
      <w:r>
        <w:rPr>
          <w:sz w:val="24"/>
          <w:szCs w:val="24"/>
        </w:rPr>
        <w:t xml:space="preserve"> all middles schools and all high schools into categories</w:t>
      </w:r>
      <w:r w:rsidR="004D0E9C">
        <w:rPr>
          <w:sz w:val="24"/>
          <w:szCs w:val="24"/>
        </w:rPr>
        <w:t xml:space="preserve"> from highest overall score to the lowest overall score.  Each school is then assigned a percentile ranking.  Schools ranking in the 90th percentile and above are labeled distinguished, schools ranking in the 70</w:t>
      </w:r>
      <w:r w:rsidR="004D0E9C" w:rsidRPr="004D0E9C">
        <w:rPr>
          <w:sz w:val="24"/>
          <w:szCs w:val="24"/>
          <w:vertAlign w:val="superscript"/>
        </w:rPr>
        <w:t>th</w:t>
      </w:r>
      <w:r w:rsidR="004D0E9C">
        <w:rPr>
          <w:sz w:val="24"/>
          <w:szCs w:val="24"/>
        </w:rPr>
        <w:t>-89</w:t>
      </w:r>
      <w:r w:rsidR="004D0E9C" w:rsidRPr="004D0E9C">
        <w:rPr>
          <w:sz w:val="24"/>
          <w:szCs w:val="24"/>
          <w:vertAlign w:val="superscript"/>
        </w:rPr>
        <w:t>th</w:t>
      </w:r>
      <w:r w:rsidR="004D0E9C">
        <w:rPr>
          <w:sz w:val="24"/>
          <w:szCs w:val="24"/>
        </w:rPr>
        <w:t xml:space="preserve"> percentile are labeled proficient, and schools ranking below the 69</w:t>
      </w:r>
      <w:r w:rsidR="004D0E9C" w:rsidRPr="004D0E9C">
        <w:rPr>
          <w:sz w:val="24"/>
          <w:szCs w:val="24"/>
          <w:vertAlign w:val="superscript"/>
        </w:rPr>
        <w:t>th</w:t>
      </w:r>
      <w:r w:rsidR="004D0E9C">
        <w:rPr>
          <w:sz w:val="24"/>
          <w:szCs w:val="24"/>
        </w:rPr>
        <w:t xml:space="preserve"> percentile are labeled needs improvement.  See the chart for Pendleton County Schools’ scores, percentile rankings, and category label.</w:t>
      </w:r>
    </w:p>
    <w:tbl>
      <w:tblPr>
        <w:tblStyle w:val="TableGrid"/>
        <w:tblW w:w="0" w:type="auto"/>
        <w:tblInd w:w="648" w:type="dxa"/>
        <w:tblLook w:val="04A0" w:firstRow="1" w:lastRow="0" w:firstColumn="1" w:lastColumn="0" w:noHBand="0" w:noVBand="1"/>
      </w:tblPr>
      <w:tblGrid>
        <w:gridCol w:w="3510"/>
        <w:gridCol w:w="1260"/>
        <w:gridCol w:w="1260"/>
        <w:gridCol w:w="2250"/>
      </w:tblGrid>
      <w:tr w:rsidR="00232D15" w:rsidTr="00232D15">
        <w:tc>
          <w:tcPr>
            <w:tcW w:w="3510" w:type="dxa"/>
          </w:tcPr>
          <w:p w:rsidR="00232D15" w:rsidRPr="00565A14" w:rsidRDefault="00232D15" w:rsidP="00565A14">
            <w:pPr>
              <w:jc w:val="center"/>
              <w:rPr>
                <w:b/>
                <w:sz w:val="24"/>
                <w:szCs w:val="24"/>
              </w:rPr>
            </w:pPr>
            <w:r w:rsidRPr="00565A14">
              <w:rPr>
                <w:b/>
                <w:sz w:val="24"/>
                <w:szCs w:val="24"/>
              </w:rPr>
              <w:t>School</w:t>
            </w:r>
          </w:p>
        </w:tc>
        <w:tc>
          <w:tcPr>
            <w:tcW w:w="1260" w:type="dxa"/>
          </w:tcPr>
          <w:p w:rsidR="00232D15" w:rsidRPr="00465422" w:rsidRDefault="00232D15" w:rsidP="00E35748">
            <w:pPr>
              <w:jc w:val="center"/>
              <w:rPr>
                <w:b/>
                <w:sz w:val="24"/>
                <w:szCs w:val="24"/>
              </w:rPr>
            </w:pPr>
            <w:r w:rsidRPr="00465422">
              <w:rPr>
                <w:b/>
                <w:sz w:val="24"/>
                <w:szCs w:val="24"/>
              </w:rPr>
              <w:t>Overall Score</w:t>
            </w:r>
          </w:p>
        </w:tc>
        <w:tc>
          <w:tcPr>
            <w:tcW w:w="1260" w:type="dxa"/>
          </w:tcPr>
          <w:p w:rsidR="00232D15" w:rsidRPr="00465422" w:rsidRDefault="00232D15" w:rsidP="00E35748">
            <w:pPr>
              <w:jc w:val="center"/>
              <w:rPr>
                <w:b/>
                <w:sz w:val="24"/>
                <w:szCs w:val="24"/>
              </w:rPr>
            </w:pPr>
            <w:r w:rsidRPr="00465422">
              <w:rPr>
                <w:b/>
                <w:sz w:val="24"/>
                <w:szCs w:val="24"/>
              </w:rPr>
              <w:t>Percentile Rank</w:t>
            </w:r>
          </w:p>
        </w:tc>
        <w:tc>
          <w:tcPr>
            <w:tcW w:w="2250" w:type="dxa"/>
          </w:tcPr>
          <w:p w:rsidR="00232D15" w:rsidRPr="00465422" w:rsidRDefault="00232D15" w:rsidP="00E35748">
            <w:pPr>
              <w:jc w:val="center"/>
              <w:rPr>
                <w:b/>
                <w:sz w:val="24"/>
                <w:szCs w:val="24"/>
              </w:rPr>
            </w:pPr>
            <w:r>
              <w:rPr>
                <w:b/>
                <w:sz w:val="24"/>
                <w:szCs w:val="24"/>
              </w:rPr>
              <w:t>Category</w:t>
            </w:r>
          </w:p>
        </w:tc>
      </w:tr>
      <w:tr w:rsidR="00232D15" w:rsidTr="00232D15">
        <w:tc>
          <w:tcPr>
            <w:tcW w:w="3510" w:type="dxa"/>
          </w:tcPr>
          <w:p w:rsidR="00232D15" w:rsidRDefault="00232D15" w:rsidP="00D568F3">
            <w:pPr>
              <w:rPr>
                <w:sz w:val="24"/>
                <w:szCs w:val="24"/>
              </w:rPr>
            </w:pPr>
            <w:r>
              <w:rPr>
                <w:sz w:val="24"/>
                <w:szCs w:val="24"/>
              </w:rPr>
              <w:t>Northern Elementary</w:t>
            </w:r>
          </w:p>
        </w:tc>
        <w:tc>
          <w:tcPr>
            <w:tcW w:w="1260" w:type="dxa"/>
          </w:tcPr>
          <w:p w:rsidR="00232D15" w:rsidRDefault="00232D15" w:rsidP="00D568F3">
            <w:pPr>
              <w:rPr>
                <w:sz w:val="24"/>
                <w:szCs w:val="24"/>
              </w:rPr>
            </w:pPr>
            <w:r>
              <w:rPr>
                <w:sz w:val="24"/>
                <w:szCs w:val="24"/>
              </w:rPr>
              <w:t>58.4</w:t>
            </w:r>
          </w:p>
        </w:tc>
        <w:tc>
          <w:tcPr>
            <w:tcW w:w="1260" w:type="dxa"/>
          </w:tcPr>
          <w:p w:rsidR="00232D15" w:rsidRDefault="00232D15" w:rsidP="00D568F3">
            <w:pPr>
              <w:rPr>
                <w:sz w:val="24"/>
                <w:szCs w:val="24"/>
              </w:rPr>
            </w:pPr>
            <w:r>
              <w:rPr>
                <w:sz w:val="24"/>
                <w:szCs w:val="24"/>
              </w:rPr>
              <w:t>54</w:t>
            </w:r>
          </w:p>
        </w:tc>
        <w:tc>
          <w:tcPr>
            <w:tcW w:w="2250" w:type="dxa"/>
          </w:tcPr>
          <w:p w:rsidR="00232D15" w:rsidRDefault="00232D15" w:rsidP="00D568F3">
            <w:pPr>
              <w:rPr>
                <w:sz w:val="24"/>
                <w:szCs w:val="24"/>
              </w:rPr>
            </w:pPr>
            <w:r>
              <w:rPr>
                <w:sz w:val="24"/>
                <w:szCs w:val="24"/>
              </w:rPr>
              <w:t>Needs Improvement</w:t>
            </w:r>
          </w:p>
        </w:tc>
      </w:tr>
      <w:tr w:rsidR="00232D15" w:rsidTr="00232D15">
        <w:tc>
          <w:tcPr>
            <w:tcW w:w="3510" w:type="dxa"/>
          </w:tcPr>
          <w:p w:rsidR="00232D15" w:rsidRDefault="00232D15" w:rsidP="00D568F3">
            <w:pPr>
              <w:rPr>
                <w:sz w:val="24"/>
                <w:szCs w:val="24"/>
              </w:rPr>
            </w:pPr>
            <w:r>
              <w:rPr>
                <w:sz w:val="24"/>
                <w:szCs w:val="24"/>
              </w:rPr>
              <w:t>Southern Elementary</w:t>
            </w:r>
          </w:p>
        </w:tc>
        <w:tc>
          <w:tcPr>
            <w:tcW w:w="1260" w:type="dxa"/>
          </w:tcPr>
          <w:p w:rsidR="00232D15" w:rsidRDefault="00232D15" w:rsidP="00D568F3">
            <w:pPr>
              <w:rPr>
                <w:sz w:val="24"/>
                <w:szCs w:val="24"/>
              </w:rPr>
            </w:pPr>
            <w:r>
              <w:rPr>
                <w:sz w:val="24"/>
                <w:szCs w:val="24"/>
              </w:rPr>
              <w:t>53.8</w:t>
            </w:r>
          </w:p>
        </w:tc>
        <w:tc>
          <w:tcPr>
            <w:tcW w:w="1260" w:type="dxa"/>
          </w:tcPr>
          <w:p w:rsidR="00232D15" w:rsidRDefault="00232D15" w:rsidP="00D568F3">
            <w:pPr>
              <w:rPr>
                <w:sz w:val="24"/>
                <w:szCs w:val="24"/>
              </w:rPr>
            </w:pPr>
            <w:r>
              <w:rPr>
                <w:sz w:val="24"/>
                <w:szCs w:val="24"/>
              </w:rPr>
              <w:t>35</w:t>
            </w:r>
          </w:p>
        </w:tc>
        <w:tc>
          <w:tcPr>
            <w:tcW w:w="2250" w:type="dxa"/>
          </w:tcPr>
          <w:p w:rsidR="00232D15" w:rsidRDefault="00232D15" w:rsidP="00D568F3">
            <w:pPr>
              <w:rPr>
                <w:sz w:val="24"/>
                <w:szCs w:val="24"/>
              </w:rPr>
            </w:pPr>
            <w:r>
              <w:rPr>
                <w:sz w:val="24"/>
                <w:szCs w:val="24"/>
              </w:rPr>
              <w:t>Needs Improvement</w:t>
            </w:r>
          </w:p>
        </w:tc>
      </w:tr>
      <w:tr w:rsidR="00232D15" w:rsidTr="00232D15">
        <w:tc>
          <w:tcPr>
            <w:tcW w:w="3510" w:type="dxa"/>
          </w:tcPr>
          <w:p w:rsidR="00232D15" w:rsidRDefault="00232D15" w:rsidP="00D568F3">
            <w:pPr>
              <w:rPr>
                <w:sz w:val="24"/>
                <w:szCs w:val="24"/>
              </w:rPr>
            </w:pPr>
            <w:r>
              <w:rPr>
                <w:sz w:val="24"/>
                <w:szCs w:val="24"/>
              </w:rPr>
              <w:t>Phillip A. Sharp Middle</w:t>
            </w:r>
          </w:p>
        </w:tc>
        <w:tc>
          <w:tcPr>
            <w:tcW w:w="1260" w:type="dxa"/>
          </w:tcPr>
          <w:p w:rsidR="00232D15" w:rsidRDefault="00232D15" w:rsidP="00D568F3">
            <w:pPr>
              <w:rPr>
                <w:sz w:val="24"/>
                <w:szCs w:val="24"/>
              </w:rPr>
            </w:pPr>
            <w:r>
              <w:rPr>
                <w:sz w:val="24"/>
                <w:szCs w:val="24"/>
              </w:rPr>
              <w:t>55.4</w:t>
            </w:r>
          </w:p>
        </w:tc>
        <w:tc>
          <w:tcPr>
            <w:tcW w:w="1260" w:type="dxa"/>
          </w:tcPr>
          <w:p w:rsidR="00232D15" w:rsidRDefault="00232D15" w:rsidP="00D568F3">
            <w:pPr>
              <w:rPr>
                <w:sz w:val="24"/>
                <w:szCs w:val="24"/>
              </w:rPr>
            </w:pPr>
            <w:r>
              <w:rPr>
                <w:sz w:val="24"/>
                <w:szCs w:val="24"/>
              </w:rPr>
              <w:t>55</w:t>
            </w:r>
          </w:p>
        </w:tc>
        <w:tc>
          <w:tcPr>
            <w:tcW w:w="2250" w:type="dxa"/>
          </w:tcPr>
          <w:p w:rsidR="00232D15" w:rsidRDefault="00232D15" w:rsidP="00D568F3">
            <w:pPr>
              <w:rPr>
                <w:sz w:val="24"/>
                <w:szCs w:val="24"/>
              </w:rPr>
            </w:pPr>
            <w:r>
              <w:rPr>
                <w:sz w:val="24"/>
                <w:szCs w:val="24"/>
              </w:rPr>
              <w:t>Needs Improvement</w:t>
            </w:r>
          </w:p>
        </w:tc>
      </w:tr>
      <w:tr w:rsidR="00232D15" w:rsidTr="00232D15">
        <w:tc>
          <w:tcPr>
            <w:tcW w:w="3510" w:type="dxa"/>
          </w:tcPr>
          <w:p w:rsidR="00232D15" w:rsidRDefault="00232D15" w:rsidP="00D568F3">
            <w:pPr>
              <w:rPr>
                <w:sz w:val="24"/>
                <w:szCs w:val="24"/>
              </w:rPr>
            </w:pPr>
            <w:r>
              <w:rPr>
                <w:sz w:val="24"/>
                <w:szCs w:val="24"/>
              </w:rPr>
              <w:t>Pendleton County Memorial High</w:t>
            </w:r>
          </w:p>
        </w:tc>
        <w:tc>
          <w:tcPr>
            <w:tcW w:w="1260" w:type="dxa"/>
          </w:tcPr>
          <w:p w:rsidR="00232D15" w:rsidRDefault="00232D15" w:rsidP="00D568F3">
            <w:pPr>
              <w:rPr>
                <w:sz w:val="24"/>
                <w:szCs w:val="24"/>
              </w:rPr>
            </w:pPr>
            <w:r>
              <w:rPr>
                <w:sz w:val="24"/>
                <w:szCs w:val="24"/>
              </w:rPr>
              <w:t>58.1</w:t>
            </w:r>
          </w:p>
        </w:tc>
        <w:tc>
          <w:tcPr>
            <w:tcW w:w="1260" w:type="dxa"/>
          </w:tcPr>
          <w:p w:rsidR="00232D15" w:rsidRDefault="00232D15" w:rsidP="00D568F3">
            <w:pPr>
              <w:rPr>
                <w:sz w:val="24"/>
                <w:szCs w:val="24"/>
              </w:rPr>
            </w:pPr>
            <w:r>
              <w:rPr>
                <w:sz w:val="24"/>
                <w:szCs w:val="24"/>
              </w:rPr>
              <w:t>71</w:t>
            </w:r>
          </w:p>
        </w:tc>
        <w:tc>
          <w:tcPr>
            <w:tcW w:w="2250" w:type="dxa"/>
          </w:tcPr>
          <w:p w:rsidR="00232D15" w:rsidRDefault="00232D15" w:rsidP="00D568F3">
            <w:pPr>
              <w:rPr>
                <w:sz w:val="24"/>
                <w:szCs w:val="24"/>
              </w:rPr>
            </w:pPr>
            <w:r>
              <w:rPr>
                <w:sz w:val="24"/>
                <w:szCs w:val="24"/>
              </w:rPr>
              <w:t>Proficient</w:t>
            </w:r>
          </w:p>
        </w:tc>
      </w:tr>
    </w:tbl>
    <w:p w:rsidR="00565A14" w:rsidRDefault="00565A14" w:rsidP="00D568F3">
      <w:pPr>
        <w:rPr>
          <w:sz w:val="24"/>
          <w:szCs w:val="24"/>
        </w:rPr>
      </w:pPr>
    </w:p>
    <w:p w:rsidR="000319BF" w:rsidRPr="000319BF" w:rsidRDefault="000319BF" w:rsidP="00D568F3">
      <w:pPr>
        <w:spacing w:after="0"/>
        <w:rPr>
          <w:rFonts w:cstheme="minorHAnsi"/>
          <w:sz w:val="24"/>
          <w:szCs w:val="24"/>
        </w:rPr>
      </w:pPr>
      <w:r w:rsidRPr="000319BF">
        <w:rPr>
          <w:rFonts w:cstheme="minorHAnsi"/>
          <w:sz w:val="24"/>
          <w:szCs w:val="24"/>
        </w:rPr>
        <w:t>Last</w:t>
      </w:r>
      <w:r w:rsidRPr="00D568F3">
        <w:rPr>
          <w:rFonts w:cstheme="minorHAnsi"/>
          <w:sz w:val="24"/>
          <w:szCs w:val="24"/>
        </w:rPr>
        <w:t xml:space="preserve"> year Pendleton County Schools</w:t>
      </w:r>
      <w:r w:rsidRPr="000319BF">
        <w:rPr>
          <w:rFonts w:cstheme="minorHAnsi"/>
          <w:sz w:val="24"/>
          <w:szCs w:val="24"/>
        </w:rPr>
        <w:t xml:space="preserve"> began using MAP assessment for the purpose of delivering individual instruction based on data.  </w:t>
      </w:r>
      <w:r w:rsidRPr="00D568F3">
        <w:rPr>
          <w:rFonts w:cstheme="minorHAnsi"/>
          <w:sz w:val="24"/>
          <w:szCs w:val="24"/>
        </w:rPr>
        <w:t>“District administrators have already begun working on the correlation between MAP data and the new accountability data which give</w:t>
      </w:r>
      <w:r w:rsidR="00D568F3" w:rsidRPr="00D568F3">
        <w:rPr>
          <w:rFonts w:cstheme="minorHAnsi"/>
          <w:sz w:val="24"/>
          <w:szCs w:val="24"/>
        </w:rPr>
        <w:t>s</w:t>
      </w:r>
      <w:r w:rsidRPr="00D568F3">
        <w:rPr>
          <w:rFonts w:cstheme="minorHAnsi"/>
          <w:sz w:val="24"/>
          <w:szCs w:val="24"/>
        </w:rPr>
        <w:t xml:space="preserve"> us a definite advantage on moving forward.” </w:t>
      </w:r>
      <w:r w:rsidR="00922125" w:rsidRPr="00D568F3">
        <w:rPr>
          <w:rFonts w:cstheme="minorHAnsi"/>
          <w:sz w:val="24"/>
          <w:szCs w:val="24"/>
        </w:rPr>
        <w:t>commented</w:t>
      </w:r>
      <w:r w:rsidRPr="00D568F3">
        <w:rPr>
          <w:rFonts w:cstheme="minorHAnsi"/>
          <w:sz w:val="24"/>
          <w:szCs w:val="24"/>
        </w:rPr>
        <w:t xml:space="preserve"> </w:t>
      </w:r>
      <w:r w:rsidR="00922125" w:rsidRPr="00D568F3">
        <w:rPr>
          <w:rFonts w:cstheme="minorHAnsi"/>
          <w:sz w:val="24"/>
          <w:szCs w:val="24"/>
        </w:rPr>
        <w:t xml:space="preserve">Superintendent Strong.  </w:t>
      </w:r>
      <w:r w:rsidR="00D568F3" w:rsidRPr="00D568F3">
        <w:rPr>
          <w:rFonts w:cstheme="minorHAnsi"/>
          <w:sz w:val="24"/>
          <w:szCs w:val="24"/>
        </w:rPr>
        <w:t>“</w:t>
      </w:r>
      <w:r w:rsidRPr="000319BF">
        <w:rPr>
          <w:rFonts w:cstheme="minorHAnsi"/>
          <w:sz w:val="24"/>
          <w:szCs w:val="24"/>
        </w:rPr>
        <w:t>The good news is that as a district we know the areas in which we need improvement and have already created plans to ensure that we make those improvements as a district.</w:t>
      </w:r>
      <w:r w:rsidR="00D568F3" w:rsidRPr="00D568F3">
        <w:rPr>
          <w:rFonts w:cstheme="minorHAnsi"/>
          <w:sz w:val="24"/>
          <w:szCs w:val="24"/>
        </w:rPr>
        <w:t>”</w:t>
      </w:r>
      <w:r w:rsidRPr="000319BF">
        <w:rPr>
          <w:rFonts w:cstheme="minorHAnsi"/>
          <w:sz w:val="24"/>
          <w:szCs w:val="24"/>
        </w:rPr>
        <w:t xml:space="preserve"> </w:t>
      </w:r>
    </w:p>
    <w:p w:rsidR="000319BF" w:rsidRPr="000319BF" w:rsidRDefault="000319BF" w:rsidP="00D568F3">
      <w:pPr>
        <w:numPr>
          <w:ilvl w:val="0"/>
          <w:numId w:val="1"/>
        </w:numPr>
        <w:spacing w:after="0"/>
        <w:ind w:left="720"/>
        <w:rPr>
          <w:rFonts w:cstheme="minorHAnsi"/>
          <w:sz w:val="24"/>
          <w:szCs w:val="24"/>
        </w:rPr>
      </w:pPr>
      <w:r w:rsidRPr="000319BF">
        <w:rPr>
          <w:rFonts w:cstheme="minorHAnsi"/>
          <w:sz w:val="24"/>
          <w:szCs w:val="24"/>
        </w:rPr>
        <w:t>We need to make sure that our lessons are rigorous and are aligned to the Common Core Standards.</w:t>
      </w:r>
    </w:p>
    <w:p w:rsidR="000319BF" w:rsidRPr="000319BF" w:rsidRDefault="000319BF" w:rsidP="00D568F3">
      <w:pPr>
        <w:numPr>
          <w:ilvl w:val="0"/>
          <w:numId w:val="1"/>
        </w:numPr>
        <w:spacing w:after="0"/>
        <w:ind w:left="720"/>
        <w:rPr>
          <w:rFonts w:cstheme="minorHAnsi"/>
          <w:sz w:val="24"/>
          <w:szCs w:val="24"/>
        </w:rPr>
      </w:pPr>
      <w:r w:rsidRPr="000319BF">
        <w:rPr>
          <w:rFonts w:cstheme="minorHAnsi"/>
          <w:sz w:val="24"/>
          <w:szCs w:val="24"/>
        </w:rPr>
        <w:t>We need to make sure we are working to engage all of our students so that they t</w:t>
      </w:r>
      <w:r w:rsidR="00D568F3" w:rsidRPr="00D568F3">
        <w:rPr>
          <w:rFonts w:cstheme="minorHAnsi"/>
          <w:sz w:val="24"/>
          <w:szCs w:val="24"/>
        </w:rPr>
        <w:t>ake ownership of their learning.</w:t>
      </w:r>
    </w:p>
    <w:p w:rsidR="000319BF" w:rsidRPr="000319BF" w:rsidRDefault="000319BF" w:rsidP="00D568F3">
      <w:pPr>
        <w:numPr>
          <w:ilvl w:val="0"/>
          <w:numId w:val="1"/>
        </w:numPr>
        <w:spacing w:after="0"/>
        <w:ind w:left="720"/>
        <w:rPr>
          <w:rFonts w:cstheme="minorHAnsi"/>
          <w:sz w:val="24"/>
          <w:szCs w:val="24"/>
        </w:rPr>
      </w:pPr>
      <w:r w:rsidRPr="000319BF">
        <w:rPr>
          <w:rFonts w:cstheme="minorHAnsi"/>
          <w:sz w:val="24"/>
          <w:szCs w:val="24"/>
        </w:rPr>
        <w:t>We need to make sure that our students see the connection between their learning and the real world.</w:t>
      </w:r>
    </w:p>
    <w:p w:rsidR="000319BF" w:rsidRPr="000319BF" w:rsidRDefault="000319BF" w:rsidP="00D568F3">
      <w:pPr>
        <w:numPr>
          <w:ilvl w:val="0"/>
          <w:numId w:val="1"/>
        </w:numPr>
        <w:spacing w:after="0"/>
        <w:ind w:left="720"/>
        <w:rPr>
          <w:rFonts w:cstheme="minorHAnsi"/>
          <w:sz w:val="24"/>
          <w:szCs w:val="24"/>
        </w:rPr>
      </w:pPr>
      <w:r w:rsidRPr="000319BF">
        <w:rPr>
          <w:rFonts w:cstheme="minorHAnsi"/>
          <w:sz w:val="24"/>
          <w:szCs w:val="24"/>
        </w:rPr>
        <w:lastRenderedPageBreak/>
        <w:t>We need to make sure that we are creating 21</w:t>
      </w:r>
      <w:r w:rsidRPr="000319BF">
        <w:rPr>
          <w:rFonts w:cstheme="minorHAnsi"/>
          <w:sz w:val="24"/>
          <w:szCs w:val="24"/>
          <w:vertAlign w:val="superscript"/>
        </w:rPr>
        <w:t>st</w:t>
      </w:r>
      <w:r w:rsidRPr="000319BF">
        <w:rPr>
          <w:rFonts w:cstheme="minorHAnsi"/>
          <w:sz w:val="24"/>
          <w:szCs w:val="24"/>
        </w:rPr>
        <w:t xml:space="preserve"> Century learners by teaching collaboration, critical thinking and problem solving, creativity, and communication.</w:t>
      </w:r>
    </w:p>
    <w:p w:rsidR="00D568F3" w:rsidRDefault="00D568F3" w:rsidP="00D568F3">
      <w:pPr>
        <w:spacing w:after="0"/>
        <w:rPr>
          <w:rFonts w:cstheme="minorHAnsi"/>
          <w:sz w:val="24"/>
          <w:szCs w:val="24"/>
        </w:rPr>
      </w:pPr>
    </w:p>
    <w:p w:rsidR="00565A14" w:rsidRDefault="00565A14" w:rsidP="00D568F3">
      <w:pPr>
        <w:spacing w:after="0"/>
        <w:rPr>
          <w:rFonts w:cstheme="minorHAnsi"/>
          <w:sz w:val="24"/>
          <w:szCs w:val="24"/>
        </w:rPr>
      </w:pPr>
      <w:r>
        <w:rPr>
          <w:rFonts w:cstheme="minorHAnsi"/>
          <w:sz w:val="24"/>
          <w:szCs w:val="24"/>
        </w:rPr>
        <w:t>“When we look at comparing ourselves to neighboring districts I feel we are in a position that places our students in good standing among their peers.  Our focus is always on improving student achievement so that our students can be competitive when applying for college or entering the work force or armed services.” said Superintendent Strong.</w:t>
      </w:r>
    </w:p>
    <w:p w:rsidR="00565A14" w:rsidRDefault="00565A14" w:rsidP="00D568F3">
      <w:pPr>
        <w:spacing w:after="0"/>
        <w:rPr>
          <w:rFonts w:cstheme="minorHAnsi"/>
          <w:sz w:val="24"/>
          <w:szCs w:val="24"/>
        </w:rPr>
      </w:pPr>
    </w:p>
    <w:p w:rsidR="00232D15" w:rsidRPr="000319BF" w:rsidRDefault="00232D15" w:rsidP="00D568F3">
      <w:pPr>
        <w:spacing w:after="0"/>
        <w:rPr>
          <w:rFonts w:cstheme="minorHAnsi"/>
          <w:sz w:val="24"/>
          <w:szCs w:val="24"/>
        </w:rPr>
      </w:pPr>
    </w:p>
    <w:tbl>
      <w:tblPr>
        <w:tblStyle w:val="TableGrid"/>
        <w:tblW w:w="0" w:type="auto"/>
        <w:tblInd w:w="1728" w:type="dxa"/>
        <w:tblLook w:val="04A0" w:firstRow="1" w:lastRow="0" w:firstColumn="1" w:lastColumn="0" w:noHBand="0" w:noVBand="1"/>
      </w:tblPr>
      <w:tblGrid>
        <w:gridCol w:w="2250"/>
        <w:gridCol w:w="1170"/>
        <w:gridCol w:w="1260"/>
        <w:gridCol w:w="2340"/>
      </w:tblGrid>
      <w:tr w:rsidR="009D7DE4" w:rsidTr="009D7DE4">
        <w:tc>
          <w:tcPr>
            <w:tcW w:w="2250" w:type="dxa"/>
          </w:tcPr>
          <w:p w:rsidR="009D7DE4" w:rsidRPr="00465422" w:rsidRDefault="009D7DE4" w:rsidP="00E35748">
            <w:pPr>
              <w:jc w:val="center"/>
              <w:rPr>
                <w:b/>
                <w:sz w:val="24"/>
                <w:szCs w:val="24"/>
              </w:rPr>
            </w:pPr>
            <w:r w:rsidRPr="00465422">
              <w:rPr>
                <w:b/>
                <w:sz w:val="24"/>
                <w:szCs w:val="24"/>
              </w:rPr>
              <w:t>Neighboring Districts</w:t>
            </w:r>
          </w:p>
        </w:tc>
        <w:tc>
          <w:tcPr>
            <w:tcW w:w="1170" w:type="dxa"/>
          </w:tcPr>
          <w:p w:rsidR="009D7DE4" w:rsidRPr="00465422" w:rsidRDefault="009D7DE4" w:rsidP="00E35748">
            <w:pPr>
              <w:jc w:val="center"/>
              <w:rPr>
                <w:b/>
                <w:sz w:val="24"/>
                <w:szCs w:val="24"/>
              </w:rPr>
            </w:pPr>
            <w:r w:rsidRPr="00465422">
              <w:rPr>
                <w:b/>
                <w:sz w:val="24"/>
                <w:szCs w:val="24"/>
              </w:rPr>
              <w:t>Overall Score</w:t>
            </w:r>
          </w:p>
        </w:tc>
        <w:tc>
          <w:tcPr>
            <w:tcW w:w="1260" w:type="dxa"/>
          </w:tcPr>
          <w:p w:rsidR="009D7DE4" w:rsidRPr="00465422" w:rsidRDefault="009D7DE4" w:rsidP="00E35748">
            <w:pPr>
              <w:jc w:val="center"/>
              <w:rPr>
                <w:b/>
                <w:sz w:val="24"/>
                <w:szCs w:val="24"/>
              </w:rPr>
            </w:pPr>
            <w:r w:rsidRPr="00465422">
              <w:rPr>
                <w:b/>
                <w:sz w:val="24"/>
                <w:szCs w:val="24"/>
              </w:rPr>
              <w:t>Percentile Rank</w:t>
            </w:r>
          </w:p>
        </w:tc>
        <w:tc>
          <w:tcPr>
            <w:tcW w:w="2340" w:type="dxa"/>
          </w:tcPr>
          <w:p w:rsidR="009D7DE4" w:rsidRPr="00465422" w:rsidRDefault="009D7DE4" w:rsidP="00E35748">
            <w:pPr>
              <w:jc w:val="center"/>
              <w:rPr>
                <w:b/>
                <w:sz w:val="24"/>
                <w:szCs w:val="24"/>
              </w:rPr>
            </w:pPr>
            <w:r>
              <w:rPr>
                <w:b/>
                <w:sz w:val="24"/>
                <w:szCs w:val="24"/>
              </w:rPr>
              <w:t>Category</w:t>
            </w:r>
          </w:p>
        </w:tc>
      </w:tr>
      <w:tr w:rsidR="009D7DE4" w:rsidTr="009D7DE4">
        <w:trPr>
          <w:trHeight w:val="215"/>
        </w:trPr>
        <w:tc>
          <w:tcPr>
            <w:tcW w:w="2250" w:type="dxa"/>
          </w:tcPr>
          <w:p w:rsidR="009D7DE4" w:rsidRDefault="009D7DE4" w:rsidP="00E35748">
            <w:pPr>
              <w:rPr>
                <w:sz w:val="24"/>
                <w:szCs w:val="24"/>
              </w:rPr>
            </w:pPr>
            <w:r>
              <w:rPr>
                <w:sz w:val="24"/>
                <w:szCs w:val="24"/>
              </w:rPr>
              <w:t>Campbell County</w:t>
            </w:r>
          </w:p>
        </w:tc>
        <w:tc>
          <w:tcPr>
            <w:tcW w:w="1170" w:type="dxa"/>
          </w:tcPr>
          <w:p w:rsidR="009D7DE4" w:rsidRDefault="009D7DE4" w:rsidP="00E35748">
            <w:pPr>
              <w:rPr>
                <w:sz w:val="24"/>
                <w:szCs w:val="24"/>
              </w:rPr>
            </w:pPr>
            <w:r>
              <w:rPr>
                <w:sz w:val="24"/>
                <w:szCs w:val="24"/>
              </w:rPr>
              <w:t>61.4</w:t>
            </w:r>
          </w:p>
        </w:tc>
        <w:tc>
          <w:tcPr>
            <w:tcW w:w="1260" w:type="dxa"/>
          </w:tcPr>
          <w:p w:rsidR="009D7DE4" w:rsidRDefault="009D7DE4" w:rsidP="00E35748">
            <w:pPr>
              <w:rPr>
                <w:sz w:val="24"/>
                <w:szCs w:val="24"/>
              </w:rPr>
            </w:pPr>
            <w:r>
              <w:rPr>
                <w:sz w:val="24"/>
                <w:szCs w:val="24"/>
              </w:rPr>
              <w:t>86</w:t>
            </w:r>
          </w:p>
        </w:tc>
        <w:tc>
          <w:tcPr>
            <w:tcW w:w="2340" w:type="dxa"/>
          </w:tcPr>
          <w:p w:rsidR="009D7DE4" w:rsidRDefault="009D7DE4" w:rsidP="00E35748">
            <w:pPr>
              <w:rPr>
                <w:sz w:val="24"/>
                <w:szCs w:val="24"/>
              </w:rPr>
            </w:pPr>
            <w:r>
              <w:rPr>
                <w:sz w:val="24"/>
                <w:szCs w:val="24"/>
              </w:rPr>
              <w:t>Proficient</w:t>
            </w:r>
          </w:p>
        </w:tc>
      </w:tr>
      <w:tr w:rsidR="009D7DE4" w:rsidTr="009D7DE4">
        <w:tc>
          <w:tcPr>
            <w:tcW w:w="2250" w:type="dxa"/>
          </w:tcPr>
          <w:p w:rsidR="009D7DE4" w:rsidRDefault="009D7DE4" w:rsidP="00E35748">
            <w:pPr>
              <w:rPr>
                <w:sz w:val="24"/>
                <w:szCs w:val="24"/>
              </w:rPr>
            </w:pPr>
            <w:r>
              <w:rPr>
                <w:sz w:val="24"/>
                <w:szCs w:val="24"/>
              </w:rPr>
              <w:t>Kenton County</w:t>
            </w:r>
          </w:p>
        </w:tc>
        <w:tc>
          <w:tcPr>
            <w:tcW w:w="1170" w:type="dxa"/>
          </w:tcPr>
          <w:p w:rsidR="009D7DE4" w:rsidRDefault="009D7DE4" w:rsidP="00E35748">
            <w:pPr>
              <w:rPr>
                <w:sz w:val="24"/>
                <w:szCs w:val="24"/>
              </w:rPr>
            </w:pPr>
            <w:r>
              <w:rPr>
                <w:sz w:val="24"/>
                <w:szCs w:val="24"/>
              </w:rPr>
              <w:t>59.7</w:t>
            </w:r>
          </w:p>
        </w:tc>
        <w:tc>
          <w:tcPr>
            <w:tcW w:w="1260" w:type="dxa"/>
          </w:tcPr>
          <w:p w:rsidR="009D7DE4" w:rsidRDefault="009D7DE4" w:rsidP="00E35748">
            <w:pPr>
              <w:rPr>
                <w:sz w:val="24"/>
                <w:szCs w:val="24"/>
              </w:rPr>
            </w:pPr>
            <w:r>
              <w:rPr>
                <w:sz w:val="24"/>
                <w:szCs w:val="24"/>
              </w:rPr>
              <w:t>82</w:t>
            </w:r>
          </w:p>
        </w:tc>
        <w:tc>
          <w:tcPr>
            <w:tcW w:w="2340" w:type="dxa"/>
          </w:tcPr>
          <w:p w:rsidR="009D7DE4" w:rsidRDefault="009D7DE4" w:rsidP="00E35748">
            <w:pPr>
              <w:rPr>
                <w:sz w:val="24"/>
                <w:szCs w:val="24"/>
              </w:rPr>
            </w:pPr>
            <w:r>
              <w:rPr>
                <w:sz w:val="24"/>
                <w:szCs w:val="24"/>
              </w:rPr>
              <w:t>Proficient</w:t>
            </w:r>
          </w:p>
        </w:tc>
      </w:tr>
      <w:tr w:rsidR="009D7DE4" w:rsidTr="009D7DE4">
        <w:tc>
          <w:tcPr>
            <w:tcW w:w="2250" w:type="dxa"/>
          </w:tcPr>
          <w:p w:rsidR="009D7DE4" w:rsidRPr="00922125" w:rsidRDefault="009D7DE4" w:rsidP="00E35748">
            <w:pPr>
              <w:rPr>
                <w:b/>
                <w:sz w:val="24"/>
                <w:szCs w:val="24"/>
              </w:rPr>
            </w:pPr>
            <w:r w:rsidRPr="00922125">
              <w:rPr>
                <w:b/>
                <w:sz w:val="24"/>
                <w:szCs w:val="24"/>
              </w:rPr>
              <w:t>Pendleton County</w:t>
            </w:r>
          </w:p>
        </w:tc>
        <w:tc>
          <w:tcPr>
            <w:tcW w:w="1170" w:type="dxa"/>
          </w:tcPr>
          <w:p w:rsidR="009D7DE4" w:rsidRPr="00922125" w:rsidRDefault="009D7DE4" w:rsidP="00E35748">
            <w:pPr>
              <w:rPr>
                <w:b/>
                <w:sz w:val="24"/>
                <w:szCs w:val="24"/>
              </w:rPr>
            </w:pPr>
            <w:r w:rsidRPr="00922125">
              <w:rPr>
                <w:b/>
                <w:sz w:val="24"/>
                <w:szCs w:val="24"/>
              </w:rPr>
              <w:t>56.4</w:t>
            </w:r>
          </w:p>
        </w:tc>
        <w:tc>
          <w:tcPr>
            <w:tcW w:w="1260" w:type="dxa"/>
          </w:tcPr>
          <w:p w:rsidR="009D7DE4" w:rsidRPr="00922125" w:rsidRDefault="009D7DE4" w:rsidP="00E35748">
            <w:pPr>
              <w:rPr>
                <w:b/>
                <w:sz w:val="24"/>
                <w:szCs w:val="24"/>
              </w:rPr>
            </w:pPr>
            <w:r w:rsidRPr="00922125">
              <w:rPr>
                <w:b/>
                <w:sz w:val="24"/>
                <w:szCs w:val="24"/>
              </w:rPr>
              <w:t>58</w:t>
            </w:r>
          </w:p>
        </w:tc>
        <w:tc>
          <w:tcPr>
            <w:tcW w:w="2340" w:type="dxa"/>
          </w:tcPr>
          <w:p w:rsidR="009D7DE4" w:rsidRPr="009D7DE4" w:rsidRDefault="009D7DE4" w:rsidP="00E35748">
            <w:pPr>
              <w:rPr>
                <w:b/>
                <w:sz w:val="24"/>
                <w:szCs w:val="24"/>
              </w:rPr>
            </w:pPr>
            <w:r w:rsidRPr="009D7DE4">
              <w:rPr>
                <w:b/>
                <w:sz w:val="24"/>
                <w:szCs w:val="24"/>
              </w:rPr>
              <w:t>Needs Improvement</w:t>
            </w:r>
          </w:p>
        </w:tc>
      </w:tr>
      <w:tr w:rsidR="009D7DE4" w:rsidTr="009D7DE4">
        <w:tc>
          <w:tcPr>
            <w:tcW w:w="2250" w:type="dxa"/>
          </w:tcPr>
          <w:p w:rsidR="009D7DE4" w:rsidRDefault="009D7DE4" w:rsidP="00E35748">
            <w:pPr>
              <w:rPr>
                <w:sz w:val="24"/>
                <w:szCs w:val="24"/>
              </w:rPr>
            </w:pPr>
            <w:r>
              <w:rPr>
                <w:sz w:val="24"/>
                <w:szCs w:val="24"/>
              </w:rPr>
              <w:t>Harrison County</w:t>
            </w:r>
          </w:p>
        </w:tc>
        <w:tc>
          <w:tcPr>
            <w:tcW w:w="1170" w:type="dxa"/>
          </w:tcPr>
          <w:p w:rsidR="009D7DE4" w:rsidRDefault="009D7DE4" w:rsidP="00E35748">
            <w:pPr>
              <w:rPr>
                <w:sz w:val="24"/>
                <w:szCs w:val="24"/>
              </w:rPr>
            </w:pPr>
            <w:r>
              <w:rPr>
                <w:sz w:val="24"/>
                <w:szCs w:val="24"/>
              </w:rPr>
              <w:t>55.8</w:t>
            </w:r>
          </w:p>
        </w:tc>
        <w:tc>
          <w:tcPr>
            <w:tcW w:w="1260" w:type="dxa"/>
          </w:tcPr>
          <w:p w:rsidR="009D7DE4" w:rsidRDefault="009D7DE4" w:rsidP="00E35748">
            <w:pPr>
              <w:rPr>
                <w:sz w:val="24"/>
                <w:szCs w:val="24"/>
              </w:rPr>
            </w:pPr>
            <w:r>
              <w:rPr>
                <w:sz w:val="24"/>
                <w:szCs w:val="24"/>
              </w:rPr>
              <w:t>54</w:t>
            </w:r>
          </w:p>
        </w:tc>
        <w:tc>
          <w:tcPr>
            <w:tcW w:w="2340" w:type="dxa"/>
          </w:tcPr>
          <w:p w:rsidR="009D7DE4" w:rsidRPr="009D7DE4" w:rsidRDefault="009D7DE4" w:rsidP="00E35748">
            <w:pPr>
              <w:rPr>
                <w:sz w:val="24"/>
                <w:szCs w:val="24"/>
              </w:rPr>
            </w:pPr>
            <w:r w:rsidRPr="009D7DE4">
              <w:rPr>
                <w:sz w:val="24"/>
                <w:szCs w:val="24"/>
              </w:rPr>
              <w:t>Needs Improvement</w:t>
            </w:r>
          </w:p>
        </w:tc>
      </w:tr>
      <w:tr w:rsidR="009D7DE4" w:rsidTr="009D7DE4">
        <w:tc>
          <w:tcPr>
            <w:tcW w:w="2250" w:type="dxa"/>
          </w:tcPr>
          <w:p w:rsidR="009D7DE4" w:rsidRDefault="009D7DE4" w:rsidP="00E35748">
            <w:pPr>
              <w:rPr>
                <w:sz w:val="24"/>
                <w:szCs w:val="24"/>
              </w:rPr>
            </w:pPr>
            <w:r>
              <w:rPr>
                <w:sz w:val="24"/>
                <w:szCs w:val="24"/>
              </w:rPr>
              <w:t>Bracken County</w:t>
            </w:r>
          </w:p>
        </w:tc>
        <w:tc>
          <w:tcPr>
            <w:tcW w:w="1170" w:type="dxa"/>
          </w:tcPr>
          <w:p w:rsidR="009D7DE4" w:rsidRDefault="009D7DE4" w:rsidP="00E35748">
            <w:pPr>
              <w:rPr>
                <w:sz w:val="24"/>
                <w:szCs w:val="24"/>
              </w:rPr>
            </w:pPr>
            <w:r>
              <w:rPr>
                <w:sz w:val="24"/>
                <w:szCs w:val="24"/>
              </w:rPr>
              <w:t>54.2</w:t>
            </w:r>
          </w:p>
        </w:tc>
        <w:tc>
          <w:tcPr>
            <w:tcW w:w="1260" w:type="dxa"/>
          </w:tcPr>
          <w:p w:rsidR="009D7DE4" w:rsidRDefault="009D7DE4" w:rsidP="00E35748">
            <w:pPr>
              <w:rPr>
                <w:sz w:val="24"/>
                <w:szCs w:val="24"/>
              </w:rPr>
            </w:pPr>
            <w:r>
              <w:rPr>
                <w:sz w:val="24"/>
                <w:szCs w:val="24"/>
              </w:rPr>
              <w:t>45</w:t>
            </w:r>
          </w:p>
        </w:tc>
        <w:tc>
          <w:tcPr>
            <w:tcW w:w="2340" w:type="dxa"/>
          </w:tcPr>
          <w:p w:rsidR="009D7DE4" w:rsidRPr="009D7DE4" w:rsidRDefault="009D7DE4" w:rsidP="00E35748">
            <w:pPr>
              <w:rPr>
                <w:sz w:val="24"/>
                <w:szCs w:val="24"/>
              </w:rPr>
            </w:pPr>
            <w:r w:rsidRPr="009D7DE4">
              <w:rPr>
                <w:sz w:val="24"/>
                <w:szCs w:val="24"/>
              </w:rPr>
              <w:t>Needs Improvement</w:t>
            </w:r>
          </w:p>
        </w:tc>
      </w:tr>
      <w:tr w:rsidR="009D7DE4" w:rsidTr="009D7DE4">
        <w:tc>
          <w:tcPr>
            <w:tcW w:w="2250" w:type="dxa"/>
          </w:tcPr>
          <w:p w:rsidR="009D7DE4" w:rsidRDefault="009D7DE4" w:rsidP="00E35748">
            <w:pPr>
              <w:rPr>
                <w:sz w:val="24"/>
                <w:szCs w:val="24"/>
              </w:rPr>
            </w:pPr>
            <w:r>
              <w:rPr>
                <w:sz w:val="24"/>
                <w:szCs w:val="24"/>
              </w:rPr>
              <w:t>Grant County</w:t>
            </w:r>
          </w:p>
        </w:tc>
        <w:tc>
          <w:tcPr>
            <w:tcW w:w="1170" w:type="dxa"/>
          </w:tcPr>
          <w:p w:rsidR="009D7DE4" w:rsidRDefault="009D7DE4" w:rsidP="00E35748">
            <w:pPr>
              <w:rPr>
                <w:sz w:val="24"/>
                <w:szCs w:val="24"/>
              </w:rPr>
            </w:pPr>
            <w:r>
              <w:rPr>
                <w:sz w:val="24"/>
                <w:szCs w:val="24"/>
              </w:rPr>
              <w:t>53.4</w:t>
            </w:r>
          </w:p>
        </w:tc>
        <w:tc>
          <w:tcPr>
            <w:tcW w:w="1260" w:type="dxa"/>
          </w:tcPr>
          <w:p w:rsidR="009D7DE4" w:rsidRDefault="009D7DE4" w:rsidP="00E35748">
            <w:pPr>
              <w:rPr>
                <w:sz w:val="24"/>
                <w:szCs w:val="24"/>
              </w:rPr>
            </w:pPr>
            <w:r>
              <w:rPr>
                <w:sz w:val="24"/>
                <w:szCs w:val="24"/>
              </w:rPr>
              <w:t>39</w:t>
            </w:r>
          </w:p>
        </w:tc>
        <w:tc>
          <w:tcPr>
            <w:tcW w:w="2340" w:type="dxa"/>
          </w:tcPr>
          <w:p w:rsidR="009D7DE4" w:rsidRPr="009D7DE4" w:rsidRDefault="009D7DE4" w:rsidP="00E35748">
            <w:pPr>
              <w:rPr>
                <w:sz w:val="24"/>
                <w:szCs w:val="24"/>
              </w:rPr>
            </w:pPr>
            <w:r w:rsidRPr="009D7DE4">
              <w:rPr>
                <w:sz w:val="24"/>
                <w:szCs w:val="24"/>
              </w:rPr>
              <w:t>Needs Improvement</w:t>
            </w:r>
          </w:p>
        </w:tc>
      </w:tr>
    </w:tbl>
    <w:p w:rsidR="000319BF" w:rsidRPr="004D0E9C" w:rsidRDefault="00565A14" w:rsidP="00D568F3">
      <w:pPr>
        <w:rPr>
          <w:b/>
          <w:sz w:val="24"/>
          <w:szCs w:val="24"/>
        </w:rPr>
      </w:pPr>
      <w:r>
        <w:rPr>
          <w:b/>
          <w:sz w:val="24"/>
          <w:szCs w:val="24"/>
        </w:rPr>
        <w:t xml:space="preserve">                                </w:t>
      </w:r>
      <w:r>
        <w:rPr>
          <w:b/>
          <w:sz w:val="24"/>
          <w:szCs w:val="24"/>
        </w:rPr>
        <w:tab/>
        <w:t xml:space="preserve">      </w:t>
      </w:r>
      <w:r w:rsidR="009D7DE4">
        <w:rPr>
          <w:b/>
          <w:sz w:val="24"/>
          <w:szCs w:val="24"/>
        </w:rPr>
        <w:t xml:space="preserve">    </w:t>
      </w:r>
      <w:r w:rsidRPr="00922125">
        <w:rPr>
          <w:b/>
          <w:sz w:val="24"/>
          <w:szCs w:val="24"/>
        </w:rPr>
        <w:t xml:space="preserve">Comparison Chart </w:t>
      </w:r>
      <w:proofErr w:type="gramStart"/>
      <w:r w:rsidRPr="00922125">
        <w:rPr>
          <w:b/>
          <w:sz w:val="24"/>
          <w:szCs w:val="24"/>
        </w:rPr>
        <w:t>To</w:t>
      </w:r>
      <w:proofErr w:type="gramEnd"/>
      <w:r w:rsidRPr="00922125">
        <w:rPr>
          <w:b/>
          <w:sz w:val="24"/>
          <w:szCs w:val="24"/>
        </w:rPr>
        <w:t xml:space="preserve"> Neighboring Districts</w:t>
      </w:r>
    </w:p>
    <w:p w:rsidR="00565A14" w:rsidRDefault="00565A14" w:rsidP="00565A14">
      <w:pPr>
        <w:spacing w:after="0"/>
        <w:rPr>
          <w:rFonts w:cstheme="minorHAnsi"/>
          <w:sz w:val="24"/>
          <w:szCs w:val="24"/>
        </w:rPr>
      </w:pPr>
      <w:r w:rsidRPr="00D568F3">
        <w:rPr>
          <w:rFonts w:cstheme="minorHAnsi"/>
          <w:sz w:val="24"/>
          <w:szCs w:val="24"/>
        </w:rPr>
        <w:t xml:space="preserve">“I am excited about our future and what we can do to be better for our students.  </w:t>
      </w:r>
      <w:r w:rsidRPr="000319BF">
        <w:rPr>
          <w:rFonts w:cstheme="minorHAnsi"/>
          <w:sz w:val="24"/>
          <w:szCs w:val="24"/>
        </w:rPr>
        <w:t xml:space="preserve">Our goal is to make sure that all of our students are college or career ready.  Achieving greatness, every student, every day cannot just </w:t>
      </w:r>
      <w:r w:rsidRPr="00D568F3">
        <w:rPr>
          <w:rFonts w:cstheme="minorHAnsi"/>
          <w:sz w:val="24"/>
          <w:szCs w:val="24"/>
        </w:rPr>
        <w:t>be a slogan.  These</w:t>
      </w:r>
      <w:r w:rsidRPr="000319BF">
        <w:rPr>
          <w:rFonts w:cstheme="minorHAnsi"/>
          <w:sz w:val="24"/>
          <w:szCs w:val="24"/>
        </w:rPr>
        <w:t xml:space="preserve"> words must be a reality for our students and I know through hard work and dedication we as a </w:t>
      </w:r>
      <w:r w:rsidRPr="00D568F3">
        <w:rPr>
          <w:rFonts w:cstheme="minorHAnsi"/>
          <w:sz w:val="24"/>
          <w:szCs w:val="24"/>
        </w:rPr>
        <w:t>district can make this happen.” said Superintendent Strong.</w:t>
      </w:r>
    </w:p>
    <w:p w:rsidR="000319BF" w:rsidRPr="00D568F3" w:rsidRDefault="000319BF" w:rsidP="00D568F3">
      <w:pPr>
        <w:rPr>
          <w:rFonts w:cstheme="minorHAnsi"/>
          <w:sz w:val="24"/>
          <w:szCs w:val="24"/>
        </w:rPr>
      </w:pPr>
    </w:p>
    <w:p w:rsidR="002A556C" w:rsidRPr="00D568F3" w:rsidRDefault="002A556C" w:rsidP="00D568F3">
      <w:pPr>
        <w:rPr>
          <w:rFonts w:cstheme="minorHAnsi"/>
          <w:sz w:val="24"/>
          <w:szCs w:val="24"/>
        </w:rPr>
      </w:pPr>
    </w:p>
    <w:sectPr w:rsidR="002A556C" w:rsidRPr="00D568F3" w:rsidSect="00565A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F3" w:rsidRDefault="00D568F3" w:rsidP="00D568F3">
      <w:pPr>
        <w:spacing w:after="0" w:line="240" w:lineRule="auto"/>
      </w:pPr>
      <w:r>
        <w:separator/>
      </w:r>
    </w:p>
  </w:endnote>
  <w:endnote w:type="continuationSeparator" w:id="0">
    <w:p w:rsidR="00D568F3" w:rsidRDefault="00D568F3" w:rsidP="00D5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F3" w:rsidRDefault="00D568F3" w:rsidP="00D568F3">
      <w:pPr>
        <w:spacing w:after="0" w:line="240" w:lineRule="auto"/>
      </w:pPr>
      <w:r>
        <w:separator/>
      </w:r>
    </w:p>
  </w:footnote>
  <w:footnote w:type="continuationSeparator" w:id="0">
    <w:p w:rsidR="00D568F3" w:rsidRDefault="00D568F3" w:rsidP="00D56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3BA9"/>
    <w:multiLevelType w:val="hybridMultilevel"/>
    <w:tmpl w:val="AF5272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96"/>
    <w:rsid w:val="000319BF"/>
    <w:rsid w:val="001E4096"/>
    <w:rsid w:val="00232D15"/>
    <w:rsid w:val="002A556C"/>
    <w:rsid w:val="00465422"/>
    <w:rsid w:val="004D0E9C"/>
    <w:rsid w:val="00565A14"/>
    <w:rsid w:val="00634E55"/>
    <w:rsid w:val="00922125"/>
    <w:rsid w:val="009D7DE4"/>
    <w:rsid w:val="00D5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096"/>
    <w:rPr>
      <w:color w:val="0000FF"/>
      <w:u w:val="single"/>
    </w:rPr>
  </w:style>
  <w:style w:type="paragraph" w:styleId="NormalWeb">
    <w:name w:val="Normal (Web)"/>
    <w:basedOn w:val="Normal"/>
    <w:uiPriority w:val="99"/>
    <w:semiHidden/>
    <w:unhideWhenUsed/>
    <w:rsid w:val="001E40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F3"/>
  </w:style>
  <w:style w:type="paragraph" w:styleId="Footer">
    <w:name w:val="footer"/>
    <w:basedOn w:val="Normal"/>
    <w:link w:val="FooterChar"/>
    <w:uiPriority w:val="99"/>
    <w:unhideWhenUsed/>
    <w:rsid w:val="00D5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096"/>
    <w:rPr>
      <w:color w:val="0000FF"/>
      <w:u w:val="single"/>
    </w:rPr>
  </w:style>
  <w:style w:type="paragraph" w:styleId="NormalWeb">
    <w:name w:val="Normal (Web)"/>
    <w:basedOn w:val="Normal"/>
    <w:uiPriority w:val="99"/>
    <w:semiHidden/>
    <w:unhideWhenUsed/>
    <w:rsid w:val="001E40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5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F3"/>
  </w:style>
  <w:style w:type="paragraph" w:styleId="Footer">
    <w:name w:val="footer"/>
    <w:basedOn w:val="Normal"/>
    <w:link w:val="FooterChar"/>
    <w:uiPriority w:val="99"/>
    <w:unhideWhenUsed/>
    <w:rsid w:val="00D5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56960">
      <w:bodyDiv w:val="1"/>
      <w:marLeft w:val="0"/>
      <w:marRight w:val="0"/>
      <w:marTop w:val="0"/>
      <w:marBottom w:val="3165"/>
      <w:divBdr>
        <w:top w:val="none" w:sz="0" w:space="0" w:color="auto"/>
        <w:left w:val="none" w:sz="0" w:space="0" w:color="auto"/>
        <w:bottom w:val="none" w:sz="0" w:space="0" w:color="auto"/>
        <w:right w:val="none" w:sz="0" w:space="0" w:color="auto"/>
      </w:divBdr>
      <w:divsChild>
        <w:div w:id="95759752">
          <w:marLeft w:val="0"/>
          <w:marRight w:val="0"/>
          <w:marTop w:val="0"/>
          <w:marBottom w:val="0"/>
          <w:divBdr>
            <w:top w:val="none" w:sz="0" w:space="0" w:color="auto"/>
            <w:left w:val="none" w:sz="0" w:space="0" w:color="auto"/>
            <w:bottom w:val="none" w:sz="0" w:space="0" w:color="auto"/>
            <w:right w:val="none" w:sz="0" w:space="0" w:color="auto"/>
          </w:divBdr>
          <w:divsChild>
            <w:div w:id="1990593223">
              <w:marLeft w:val="0"/>
              <w:marRight w:val="0"/>
              <w:marTop w:val="0"/>
              <w:marBottom w:val="0"/>
              <w:divBdr>
                <w:top w:val="none" w:sz="0" w:space="0" w:color="auto"/>
                <w:left w:val="none" w:sz="0" w:space="0" w:color="auto"/>
                <w:bottom w:val="none" w:sz="0" w:space="0" w:color="auto"/>
                <w:right w:val="none" w:sz="0" w:space="0" w:color="auto"/>
              </w:divBdr>
              <w:divsChild>
                <w:div w:id="2002390273">
                  <w:marLeft w:val="0"/>
                  <w:marRight w:val="0"/>
                  <w:marTop w:val="0"/>
                  <w:marBottom w:val="0"/>
                  <w:divBdr>
                    <w:top w:val="none" w:sz="0" w:space="0" w:color="auto"/>
                    <w:left w:val="none" w:sz="0" w:space="0" w:color="auto"/>
                    <w:bottom w:val="none" w:sz="0" w:space="0" w:color="auto"/>
                    <w:right w:val="none" w:sz="0" w:space="0" w:color="auto"/>
                  </w:divBdr>
                  <w:divsChild>
                    <w:div w:id="1187133864">
                      <w:marLeft w:val="0"/>
                      <w:marRight w:val="0"/>
                      <w:marTop w:val="0"/>
                      <w:marBottom w:val="0"/>
                      <w:divBdr>
                        <w:top w:val="none" w:sz="0" w:space="0" w:color="auto"/>
                        <w:left w:val="none" w:sz="0" w:space="0" w:color="auto"/>
                        <w:bottom w:val="none" w:sz="0" w:space="0" w:color="auto"/>
                        <w:right w:val="none" w:sz="0" w:space="0" w:color="auto"/>
                      </w:divBdr>
                      <w:divsChild>
                        <w:div w:id="1454520823">
                          <w:marLeft w:val="0"/>
                          <w:marRight w:val="0"/>
                          <w:marTop w:val="0"/>
                          <w:marBottom w:val="0"/>
                          <w:divBdr>
                            <w:top w:val="none" w:sz="0" w:space="0" w:color="auto"/>
                            <w:left w:val="none" w:sz="0" w:space="0" w:color="auto"/>
                            <w:bottom w:val="none" w:sz="0" w:space="0" w:color="auto"/>
                            <w:right w:val="none" w:sz="0" w:space="0" w:color="auto"/>
                          </w:divBdr>
                          <w:divsChild>
                            <w:div w:id="553614707">
                              <w:marLeft w:val="0"/>
                              <w:marRight w:val="0"/>
                              <w:marTop w:val="0"/>
                              <w:marBottom w:val="0"/>
                              <w:divBdr>
                                <w:top w:val="none" w:sz="0" w:space="0" w:color="auto"/>
                                <w:left w:val="none" w:sz="0" w:space="0" w:color="auto"/>
                                <w:bottom w:val="none" w:sz="0" w:space="0" w:color="auto"/>
                                <w:right w:val="none" w:sz="0" w:space="0" w:color="auto"/>
                              </w:divBdr>
                              <w:divsChild>
                                <w:div w:id="1590045083">
                                  <w:marLeft w:val="0"/>
                                  <w:marRight w:val="0"/>
                                  <w:marTop w:val="0"/>
                                  <w:marBottom w:val="0"/>
                                  <w:divBdr>
                                    <w:top w:val="none" w:sz="0" w:space="0" w:color="auto"/>
                                    <w:left w:val="none" w:sz="0" w:space="0" w:color="auto"/>
                                    <w:bottom w:val="none" w:sz="0" w:space="0" w:color="auto"/>
                                    <w:right w:val="none" w:sz="0" w:space="0" w:color="auto"/>
                                  </w:divBdr>
                                  <w:divsChild>
                                    <w:div w:id="796485031">
                                      <w:marLeft w:val="0"/>
                                      <w:marRight w:val="0"/>
                                      <w:marTop w:val="0"/>
                                      <w:marBottom w:val="0"/>
                                      <w:divBdr>
                                        <w:top w:val="none" w:sz="0" w:space="0" w:color="auto"/>
                                        <w:left w:val="none" w:sz="0" w:space="0" w:color="auto"/>
                                        <w:bottom w:val="none" w:sz="0" w:space="0" w:color="auto"/>
                                        <w:right w:val="none" w:sz="0" w:space="0" w:color="auto"/>
                                      </w:divBdr>
                                      <w:divsChild>
                                        <w:div w:id="1145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Julie</dc:creator>
  <cp:lastModifiedBy>Hubbard, Julie</cp:lastModifiedBy>
  <cp:revision>1</cp:revision>
  <dcterms:created xsi:type="dcterms:W3CDTF">2012-10-31T17:28:00Z</dcterms:created>
  <dcterms:modified xsi:type="dcterms:W3CDTF">2012-10-31T19:05:00Z</dcterms:modified>
</cp:coreProperties>
</file>